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120" w:before="0" w:line="320"/>
        <w:jc w:val="left"/>
      </w:pPr>
      <w:r>
        <w:rPr>
          <w:rFonts w:ascii="Arial" w:cs="Arial" w:hAnsi="Arial"/>
          <w:b/>
          <w:bCs/>
          <w:color w:val="A43F17"/>
          <w:sz w:val="18"/>
          <w:szCs w:val="18"/>
          <w:rtl w:val="false"/>
        </w:rPr>
        <w:t xml:space="preserve">Ijaz · free tools</w:t>
      </w:r>
    </w:p>
    <w:p>
      <w:pPr>
        <w:bidi w:val="false"/>
        <w:spacing w:after="160" w:before="0" w:line="320"/>
        <w:jc w:val="left"/>
      </w:pPr>
      <w:r>
        <w:rPr>
          <w:rFonts w:ascii="Arial" w:cs="Arial" w:hAnsi="Arial"/>
          <w:b/>
          <w:bCs/>
          <w:color w:val="1A1712"/>
          <w:sz w:val="44"/>
          <w:szCs w:val="44"/>
          <w:rtl w:val="false"/>
        </w:rPr>
        <w:t xml:space="preserve">Leadership visibility plan</w:t>
      </w:r>
    </w:p>
    <w:p>
      <w:pPr>
        <w:bidi w:val="false"/>
        <w:spacing w:after="200" w:before="0" w:line="320"/>
        <w:jc w:val="left"/>
      </w:pPr>
      <w:r>
        <w:rPr>
          <w:rFonts w:ascii="Arial" w:cs="Arial" w:hAnsi="Arial"/>
          <w:b/>
          <w:bCs/>
          <w:color w:val="A43F17"/>
          <w:sz w:val="30"/>
          <w:szCs w:val="30"/>
          <w:rtl w:val="false"/>
        </w:rPr>
        <w:t xml:space="preserve">[Name]</w:t>
      </w:r>
      <w:r>
        <w:rPr>
          <w:rFonts w:ascii="Arial" w:cs="Arial" w:hAnsi="Arial"/>
          <w:color w:val="1A1712"/>
          <w:sz w:val="24"/>
          <w:szCs w:val="24"/>
          <w:rtl w:val="false"/>
        </w:rPr>
        <w:t xml:space="preserve"> · [Title] · [Company]</w:t>
      </w:r>
    </w:p>
    <w:p>
      <w:pPr>
        <w:bidi w:val="false"/>
        <w:spacing w:after="60" w:before="160" w:line="320"/>
        <w:jc w:val="left"/>
      </w:pPr>
      <w:r>
        <w:rPr>
          <w:rFonts w:ascii="Arial" w:cs="Arial" w:hAnsi="Arial"/>
          <w:b/>
          <w:bCs/>
          <w:color w:val="A43F17"/>
          <w:sz w:val="24"/>
          <w:szCs w:val="24"/>
          <w:rtl w:val="false"/>
        </w:rPr>
        <w:t xml:space="preserve">What we want to be known for</w:t>
      </w:r>
    </w:p>
    <w:p>
      <w:pPr>
        <w:pBdr>
          <w:left w:val="single" w:color="F2A93B" w:sz="18" w:space="8"/>
        </w:pBdr>
        <w:shd w:fill="FBF6EC" w:color="auto" w:val="clear"/>
        <w:bidi w:val="false"/>
        <w:spacing w:after="20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 w:val="false"/>
        </w:rPr>
        <w:t xml:space="preserve">[What should he or she be known for?]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Target audiences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The three themes</w:t>
      </w:r>
    </w:p>
    <w:tbl>
      <w:tblPr>
        <w:bidiVisual w:val="off"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0"/>
        <w:gridCol w:w="5850"/>
      </w:tblGrid>
      <w:tr>
        <w:trPr>
          <w:tblHeader/>
        </w:trPr>
        <w:tc>
          <w:tcPr>
            <w:tcW w:type="dxa" w:w="315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Theme</w:t>
            </w:r>
          </w:p>
        </w:tc>
        <w:tc>
          <w:tcPr>
            <w:tcW w:type="dxa" w:w="585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Why him or her, stories and proof</w:t>
            </w:r>
          </w:p>
        </w:tc>
      </w:tr>
      <w:tr>
        <w:trPr>
          <w:cantSplit/>
        </w:trPr>
        <w:tc>
          <w:tcPr>
            <w:tcW w:type="dxa" w:w="31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[Theme 1]</w:t>
            </w:r>
          </w:p>
        </w:tc>
        <w:tc>
          <w:tcPr>
            <w:tcW w:type="dxa" w:w="58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1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[Theme 2]</w:t>
            </w:r>
          </w:p>
        </w:tc>
        <w:tc>
          <w:tcPr>
            <w:tcW w:type="dxa" w:w="58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1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[Theme 3]</w:t>
            </w:r>
          </w:p>
        </w:tc>
        <w:tc>
          <w:tcPr>
            <w:tcW w:type="dxa" w:w="58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</w:tbl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Channels</w:t>
      </w:r>
    </w:p>
    <w:tbl>
      <w:tblPr>
        <w:bidiVisual w:val="off"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300"/>
      </w:tblGrid>
      <w:tr>
        <w:trPr>
          <w:tblHeader/>
        </w:trPr>
        <w:tc>
          <w:tcPr>
            <w:tcW w:type="dxa" w:w="27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Channel</w:t>
            </w:r>
          </w:p>
        </w:tc>
        <w:tc>
          <w:tcPr>
            <w:tcW w:type="dxa" w:w="63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How we use it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☐ LinkedIn</w:t>
            </w:r>
          </w:p>
        </w:tc>
        <w:tc>
          <w:tcPr>
            <w:tcW w:type="dxa" w:w="6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Short posts in his or her own voice on the themes, and comments on sector news.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☐ X</w:t>
            </w:r>
          </w:p>
        </w:tc>
        <w:tc>
          <w:tcPr>
            <w:tcW w:type="dxa" w:w="6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Brief positions on major moments and announcements.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☐ Op-eds</w:t>
            </w:r>
          </w:p>
        </w:tc>
        <w:tc>
          <w:tcPr>
            <w:tcW w:type="dxa" w:w="6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An article in a newspaper or business outlet on one of the three themes.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☐ Press interviews</w:t>
            </w:r>
          </w:p>
        </w:tc>
        <w:tc>
          <w:tcPr>
            <w:tcW w:type="dxa" w:w="6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Selected interviews with business media, fully prepared.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☐ Conferences and forums</w:t>
            </w:r>
          </w:p>
        </w:tc>
        <w:tc>
          <w:tcPr>
            <w:tcW w:type="dxa" w:w="6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As a speaker on a panel, not only attending.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☐ Podcasts</w:t>
            </w:r>
          </w:p>
        </w:tc>
        <w:tc>
          <w:tcPr>
            <w:tcW w:type="dxa" w:w="6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Long-form conversations that show personality and expertise.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☐ Internal communication</w:t>
            </w:r>
          </w:p>
        </w:tc>
        <w:tc>
          <w:tcPr>
            <w:tcW w:type="dxa" w:w="6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A monthly note or town hall with employees.</w:t>
            </w:r>
          </w:p>
        </w:tc>
      </w:tr>
    </w:tbl>
    <w:p>
      <w:pPr>
        <w:bidi w:val="false"/>
        <w:spacing w:after="60" w:before="160" w:line="320"/>
        <w:jc w:val="left"/>
      </w:pPr>
      <w:r>
        <w:rPr>
          <w:rFonts w:ascii="Arial" w:cs="Arial" w:hAnsi="Arial"/>
          <w:b/>
          <w:bCs/>
          <w:color w:val="A43F17"/>
          <w:sz w:val="24"/>
          <w:szCs w:val="24"/>
          <w:rtl w:val="false"/>
        </w:rPr>
        <w:t xml:space="preserve">Rhythm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Conferences and moments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The year at a glance</w:t>
      </w:r>
    </w:p>
    <w:tbl>
      <w:tblPr>
        <w:bidiVisual w:val="off"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80"/>
        <w:gridCol w:w="7020"/>
      </w:tblGrid>
      <w:tr>
        <w:trPr>
          <w:tblHeader/>
        </w:trPr>
        <w:tc>
          <w:tcPr>
            <w:tcW w:type="dxa" w:w="198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Quarter</w:t>
            </w:r>
          </w:p>
        </w:tc>
        <w:tc>
          <w:tcPr>
            <w:tcW w:type="dxa" w:w="702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Focus</w:t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Quarter 1</w:t>
            </w:r>
          </w:p>
        </w:tc>
        <w:tc>
          <w:tcPr>
            <w:tcW w:type="dxa" w:w="70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Refresh profiles and biography, agree the themes, first op-ed.</w:t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Quarter 2</w:t>
            </w:r>
          </w:p>
        </w:tc>
        <w:tc>
          <w:tcPr>
            <w:tcW w:type="dxa" w:w="70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Regular posts, at least one press interview, apply for a speaking slot.</w:t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Quarter 3</w:t>
            </w:r>
          </w:p>
        </w:tc>
        <w:tc>
          <w:tcPr>
            <w:tcW w:type="dxa" w:w="70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Speak at an event, one podcast, review what worked.</w:t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Quarter 4</w:t>
            </w:r>
          </w:p>
        </w:tc>
        <w:tc>
          <w:tcPr>
            <w:tcW w:type="dxa" w:w="70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A closing op-ed, measure results, plan next year.</w:t>
            </w:r>
          </w:p>
        </w:tc>
      </w:tr>
    </w:tbl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Topics to stay away from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Success measures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bidi w:val="false"/>
        <w:spacing w:after="120" w:before="200" w:line="320"/>
        <w:jc w:val="left"/>
      </w:pPr>
      <w:r>
        <w:rPr>
          <w:rFonts w:ascii="Arial" w:cs="Arial" w:hAnsi="Arial"/>
          <w:b/>
          <w:bCs/>
          <w:color w:val="1A1712"/>
          <w:sz w:val="22"/>
          <w:szCs w:val="22"/>
          <w:rtl w:val="false"/>
        </w:rPr>
        <w:t xml:space="preserve">Plan owner: [Who runs the plan]</w:t>
      </w:r>
    </w:p>
    <w:sectPr>
      <w:footerReference w:type="default" r:id="rId6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spacing w:after="0" w:before="0" w:line="320"/>
      <w:jc w:val="left"/>
    </w:pPr>
    <w:r>
      <w:rPr>
        <w:rFonts w:ascii="Arial" w:cs="Arial" w:hAnsi="Arial"/>
        <w:color w:val="6C6155"/>
        <w:sz w:val="16"/>
        <w:szCs w:val="16"/>
        <w:rtl w:val="false"/>
      </w:rPr>
      <w:t xml:space="preserve">A free template from Ijaz · ijaz.ai/tools · Review it with your legal team before adopting 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Leadership visibility plan</dc:title>
  <dc:creator>Ijaz</dc:creator>
  <cp:lastModifiedBy>Un-named</cp:lastModifiedBy>
  <cp:revision>1</cp:revision>
  <dcterms:created xsi:type="dcterms:W3CDTF">2026-11-02T20:33:39.861Z</dcterms:created>
  <dcterms:modified xsi:type="dcterms:W3CDTF">2026-11-02T20:33:39.861Z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