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before="0" w:line="320"/>
        <w:jc w:val="left"/>
      </w:pPr>
      <w:r>
        <w:rPr>
          <w:rFonts w:ascii="Arial" w:cs="Arial" w:hAnsi="Arial"/>
          <w:b/>
          <w:bCs/>
          <w:color w:val="A43F17"/>
          <w:sz w:val="18"/>
          <w:szCs w:val="18"/>
          <w:rtl/>
        </w:rPr>
        <w:t xml:space="preserve">إيجاز · أدوات مجانية</w:t>
      </w:r>
    </w:p>
    <w:p>
      <w:pPr>
        <w:bidi/>
        <w:spacing w:after="160" w:before="0" w:line="320"/>
        <w:jc w:val="left"/>
      </w:pPr>
      <w:r>
        <w:rPr>
          <w:rFonts w:ascii="Arial" w:cs="Arial" w:hAnsi="Arial"/>
          <w:b/>
          <w:bCs/>
          <w:color w:val="1A1712"/>
          <w:sz w:val="44"/>
          <w:szCs w:val="44"/>
          <w:rtl/>
        </w:rPr>
        <w:t xml:space="preserve">خطة اتصال الأزمات</w:t>
      </w:r>
    </w:p>
    <w:p>
      <w:pPr>
        <w:bidi/>
        <w:spacing w:after="200" w:before="0" w:line="320"/>
        <w:jc w:val="left"/>
      </w:pPr>
      <w:r>
        <w:rPr>
          <w:rFonts w:ascii="Arial" w:cs="Arial" w:hAnsi="Arial"/>
          <w:b/>
          <w:bCs/>
          <w:color w:val="A43F17"/>
          <w:sz w:val="28"/>
          <w:szCs w:val="28"/>
          <w:rtl/>
        </w:rPr>
        <w:t xml:space="preserve">[اسم الشركة]</w:t>
      </w:r>
    </w:p>
    <w:p>
      <w:pPr>
        <w:pBdr>
          <w:right w:val="single" w:color="F2A93B" w:sz="18" w:space="8"/>
        </w:pBdr>
        <w:shd w:fill="FBF6EC" w:color="auto" w:val="clear"/>
        <w:bidi/>
        <w:spacing w:after="24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/>
        </w:rPr>
        <w:t xml:space="preserve">وثيقة عمل لفريق الاتصال: تُملأ مرة، وتُراجع كل ستة أشهر، وتُحفظ نسخة منها خارج أنظمة الشركة حتى تبقى في المتناول إن تعطلت الأنظمة.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مالك الوثيقة</w:t>
            </w:r>
          </w:p>
        </w:tc>
        <w:tc>
          <w:tcPr>
            <w:tcW w:type="dxa" w:w="45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الإصدار وتاريخ المراجعة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4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1. الغرض والنطاق</w:t>
      </w:r>
    </w:p>
    <w:p>
      <w:pPr>
        <w:bidi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/>
        </w:rPr>
        <w:t xml:space="preserve">تحدد هذه الخطة كيف تتواصل [اسم الشركة] مع موظفيها وعملائها والجهات المنظِّمة والإعلام والمجتمع حين تقع أزمة تهدد سلامة الناس، أو استمرار الأعمال، أو سمعة الشركة. وهي تكمّل خطة استمرارية الأعمال وخطة الطوارئ، ولا تحل محلهما.</w:t>
      </w:r>
    </w:p>
    <w:p>
      <w:pPr>
        <w:bidi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/>
        </w:rPr>
        <w:t xml:space="preserve">الأزمة: حدث مفاجئ يتطلب قراراً سريعاً من الإدارة العليا، ويُرجَّح أن يصل إلى الرأي العام أو إلى جهة رقابية.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2. مستويات الأزمة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"/>
        <w:gridCol w:w="2520"/>
        <w:gridCol w:w="2520"/>
        <w:gridCol w:w="1440"/>
        <w:gridCol w:w="1440"/>
      </w:tblGrid>
      <w:tr>
        <w:trPr>
          <w:tblHeader/>
        </w:trPr>
        <w:tc>
          <w:tcPr>
            <w:tcW w:type="dxa" w:w="108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المستوى</w:t>
            </w:r>
          </w:p>
        </w:tc>
        <w:tc>
          <w:tcPr>
            <w:tcW w:type="dxa" w:w="252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الوصف</w:t>
            </w:r>
          </w:p>
        </w:tc>
        <w:tc>
          <w:tcPr>
            <w:tcW w:type="dxa" w:w="252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أمثلة</w:t>
            </w:r>
          </w:p>
        </w:tc>
        <w:tc>
          <w:tcPr>
            <w:tcW w:type="dxa" w:w="144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من يقود</w:t>
            </w:r>
          </w:p>
        </w:tc>
        <w:tc>
          <w:tcPr>
            <w:tcW w:type="dxa" w:w="144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أول بيان</w:t>
            </w:r>
          </w:p>
        </w:tc>
      </w:tr>
      <w:tr>
        <w:trPr>
          <w:cantSplit/>
        </w:trPr>
        <w:tc>
          <w:tcPr>
            <w:tcW w:type="dxa" w:w="10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1. حادثة</w:t>
            </w:r>
          </w:p>
        </w:tc>
        <w:tc>
          <w:tcPr>
            <w:tcW w:type="dxa" w:w="25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محدود الأثر، يُعالج ضمن الإدارة المعنية، احتمال وصوله إلى الإعلام ضعيف.</w:t>
            </w:r>
          </w:p>
        </w:tc>
        <w:tc>
          <w:tcPr>
            <w:tcW w:type="dxa" w:w="25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شكوى فردية، تعطل قصير في خدمة.</w:t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مدير الإدارة المعنية مع الاتصال</w:t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عند السؤال فقط</w:t>
            </w:r>
          </w:p>
        </w:tc>
      </w:tr>
      <w:tr>
        <w:trPr>
          <w:cantSplit/>
        </w:trPr>
        <w:tc>
          <w:tcPr>
            <w:tcW w:type="dxa" w:w="10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2. قضية</w:t>
            </w:r>
          </w:p>
        </w:tc>
        <w:tc>
          <w:tcPr>
            <w:tcW w:type="dxa" w:w="25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أثر واضح على العملاء أو السمعة، بدأ تداوله أو يُتوقع ذلك خلال ساعات.</w:t>
            </w:r>
          </w:p>
        </w:tc>
        <w:tc>
          <w:tcPr>
            <w:tcW w:type="dxa" w:w="25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شكوى منتشرة، تعطل واسع، إشاعة.</w:t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مدير الاتصال، بإبلاغ الرئيس التنفيذي</w:t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خلال ساعتين</w:t>
            </w:r>
          </w:p>
        </w:tc>
      </w:tr>
      <w:tr>
        <w:trPr>
          <w:cantSplit/>
        </w:trPr>
        <w:tc>
          <w:tcPr>
            <w:tcW w:type="dxa" w:w="10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3. أزمة</w:t>
            </w:r>
          </w:p>
        </w:tc>
        <w:tc>
          <w:tcPr>
            <w:tcW w:type="dxa" w:w="25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خطر على الأرواح، أو أثر مالي أو تنظيمي جوهري، أو تغطية إعلامية واسعة.</w:t>
            </w:r>
          </w:p>
        </w:tc>
        <w:tc>
          <w:tcPr>
            <w:tcW w:type="dxa" w:w="25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حادث بإصابات، اختراق بيانات، سحب منتج، قرار رقابي.</w:t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الرئيس التنفيذي وفريق الأزمة كاملاً</w:t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خلال 60 دقيقة</w:t>
            </w:r>
          </w:p>
        </w:tc>
      </w:tr>
    </w:tbl>
    <w:p>
      <w:pPr>
        <w:bidi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/>
        </w:rPr>
        <w:t xml:space="preserve"/>
      </w:r>
    </w:p>
    <w:p>
      <w:pPr>
        <w:bidi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/>
        </w:rPr>
        <w:t xml:space="preserve">عند الشك بين مستويين، ابدؤوا بالأعلى: خفض المستوى لاحقاً أسهل من اللحاق بأزمة تأخرتم عنها.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3. فريق الأزمة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600"/>
        <w:gridCol w:w="1260"/>
        <w:gridCol w:w="1170"/>
        <w:gridCol w:w="1170"/>
      </w:tblGrid>
      <w:tr>
        <w:trPr>
          <w:tblHeader/>
        </w:trPr>
        <w:tc>
          <w:tcPr>
            <w:tcW w:type="dxa" w:w="18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الدور</w:t>
            </w:r>
          </w:p>
        </w:tc>
        <w:tc>
          <w:tcPr>
            <w:tcW w:type="dxa" w:w="36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المسؤوليات</w:t>
            </w:r>
          </w:p>
        </w:tc>
        <w:tc>
          <w:tcPr>
            <w:tcW w:type="dxa" w:w="126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الاسم</w:t>
            </w:r>
          </w:p>
        </w:tc>
        <w:tc>
          <w:tcPr>
            <w:tcW w:type="dxa" w:w="117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الجوال</w:t>
            </w:r>
          </w:p>
        </w:tc>
        <w:tc>
          <w:tcPr>
            <w:tcW w:type="dxa" w:w="117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البديل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قائد الأزمة (الرئيس التنفيذي)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القرار النهائي، واعتماد البيانات، والتواصل مع مجلس الإدارة والمساهمين الرئيسيين.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مدير الاتصال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صياغة الرسائل، وإدارة الإعلام والمنصات، والمتحدث الرسمي أو إعداده.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المتحدث الرسمي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[اسم المتحدث الرسمي]، [منصبه]: الحديث باسم الشركة، وحده دون غيره.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الإدارة القانونية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مراجعة كل نص قبل نشره، ومتطلبات الإفصاح، والتواصل مع الجهات الرقابية.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العمليات أو الإدارة المعنية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الحقائق من الميدان: ماذا حدث، ومتى، وما الوضع الآن.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الموارد البشرية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الموظفون وأسرهم، والرسائل الداخلية.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خدمة العملاء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الردود الموحدة، ورصد ما يسأل عنه العملاء.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الأمن السيبراني وتقنية المعلومات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في الحوادث التقنية: الحقائق التقنية، وحماية القنوات الرسمية.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bidi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/>
        </w:rPr>
        <w:t xml:space="preserve"/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4. الساعة الأولى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1.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تحقّقوا من الحادثة من مصدرين داخليين، وسجّلوا وقت العلم بها.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2.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حدّدوا المستوى (القسم 2)، وفعّلوا فريق الأزمة عبر [قناة التفعيل].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3.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اعقدوا اجتماعاً أول خلال 30 دقيقة: الحقائق المعروفة، وما لا نعرفه، ومن المتأثر.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4.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أصدروا البيان الأولي من بنك البيانات الأولية بعد اعتماد الإدارة القانونية.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5.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أبلغوا الموظفين بالرسالة الداخلية قبل أن يقرؤوا الخبر في الإعلام أو بالتزامن معه.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6.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أبلغوا الجهة الرقابية المعنية إن كان ذلك مطلوباً، وراجعوا متطلبات الإفصاح إن كانت الشركة مدرجة.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7.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ابدؤوا الرصد: الإعلام، والمنصات، وأسئلة العملاء، وسجّلوا كل استفسار صحفي.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8.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حدّدوا موعد التحديث القادم وأعلنوه.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5. الجماهير والقنوات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20"/>
        <w:gridCol w:w="3060"/>
        <w:gridCol w:w="1620"/>
        <w:gridCol w:w="1350"/>
        <w:gridCol w:w="1350"/>
      </w:tblGrid>
      <w:tr>
        <w:trPr>
          <w:tblHeader/>
        </w:trPr>
        <w:tc>
          <w:tcPr>
            <w:tcW w:type="dxa" w:w="162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الجمهور</w:t>
            </w:r>
          </w:p>
        </w:tc>
        <w:tc>
          <w:tcPr>
            <w:tcW w:type="dxa" w:w="306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ما يحتاج أن يعرفه أولاً</w:t>
            </w:r>
          </w:p>
        </w:tc>
        <w:tc>
          <w:tcPr>
            <w:tcW w:type="dxa" w:w="162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القناة</w:t>
            </w:r>
          </w:p>
        </w:tc>
        <w:tc>
          <w:tcPr>
            <w:tcW w:type="dxa" w:w="135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المسؤول</w:t>
            </w:r>
          </w:p>
        </w:tc>
        <w:tc>
          <w:tcPr>
            <w:tcW w:type="dxa" w:w="135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التوقيت</w:t>
            </w:r>
          </w:p>
        </w:tc>
      </w:tr>
      <w:tr>
        <w:trPr>
          <w:cantSplit/>
        </w:trPr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الموظفون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ماذا حدث، وهل هم بأمان، وماذا يفعلون، ومن يتحدث باسم الشركة.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البريد الداخلي، رسائل المدراء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الموارد البشرية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أولاً</w:t>
            </w:r>
          </w:p>
        </w:tc>
      </w:tr>
      <w:tr>
        <w:trPr>
          <w:cantSplit/>
        </w:trPr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المتأثرون وأسرهم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تواصل مباشر وشخصي قبل أي نشر.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هاتف، زيارة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فوراً</w:t>
            </w:r>
          </w:p>
        </w:tc>
      </w:tr>
      <w:tr>
        <w:trPr>
          <w:cantSplit/>
        </w:trPr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الجهات المنظِّمة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الحقائق والإجراءات المتخذة.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القنوات الرسمية للجهة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القانونية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حسب النظام</w:t>
            </w:r>
          </w:p>
        </w:tc>
      </w:tr>
      <w:tr>
        <w:trPr>
          <w:cantSplit/>
        </w:trPr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مجلس الإدارة والمساهمون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الأثر المحتمل والقرارات المطلوبة.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اتصال من الرئيس التنفيذي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قائد الأزمة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الساعة الأولى</w:t>
            </w:r>
          </w:p>
        </w:tc>
      </w:tr>
      <w:tr>
        <w:trPr>
          <w:cantSplit/>
        </w:trPr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العملاء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هل يتأثرون، وماذا يفعلون، وأين يسألون.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الموقع، الرسائل، التطبيق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خدمة العملاء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مع البيان الأول</w:t>
            </w:r>
          </w:p>
        </w:tc>
      </w:tr>
      <w:tr>
        <w:trPr>
          <w:cantSplit/>
        </w:trPr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الإعلام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البيان الرسمي، وموعد التحديث، وجهة التواصل.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بيان، رد مباشر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الاتصال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خلال 60 دقيقة</w:t>
            </w:r>
          </w:p>
        </w:tc>
      </w:tr>
      <w:tr>
        <w:trPr>
          <w:cantSplit/>
        </w:trPr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الشركاء والموردون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الأثر على الأعمال المشتركة.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اتصال مباشر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اليوم الأول</w:t>
            </w:r>
          </w:p>
        </w:tc>
      </w:tr>
      <w:tr>
        <w:trPr>
          <w:cantSplit/>
        </w:trPr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المجتمع والمنصات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الحقيقة بلغة بسيطة، دون جدال.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الحسابات الرسمية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الاتصال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مع البيان الأول</w:t>
            </w:r>
          </w:p>
        </w:tc>
      </w:tr>
    </w:tbl>
    <w:p>
      <w:pPr>
        <w:bidi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/>
        </w:rPr>
        <w:t xml:space="preserve"/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6. اعتماد الرسائل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1.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يصوغ مدير الاتصال الرسالة من الحقائق المؤكدة فقط.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2.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تراجعها الإدارة القانونية خلال 15 دقيقة في المستوى 3.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3.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يعتمدها قائد الأزمة أو من يفوّضه كتابياً.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4.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تُنشر بالنص نفسه في كل القنوات، وتُحفظ نسخة منها مع وقت نشرها.</w:t>
      </w:r>
    </w:p>
    <w:p>
      <w:pPr>
        <w:bidi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/>
        </w:rPr>
        <w:t xml:space="preserve">لا يُنشر أي نص بلغة ثانية قبل اعتماد نسخته في تلك اللغة: الترجمة السريعة يوم الأزمة مصدر أخطاء شائع.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7. المتحدث الرسمي والإعلام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يتحدث باسم الشركة [اسم المتحدث الرسمي] ([منصبه])، ويحل محله [البديل] عند الغياب. لا يصرّح غيرهما.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تُحال كل الاستفسارات الصحفية إلى [بريد التواصل الإعلامي] أو [رقم التواصل الإعلامي]، ويُرد على كل صحفي ولو بموعد التحديث القادم.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لا «لا تعليق»: إن لم تكن المعلومة جاهزة، قولوا متى ستكون.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لا تخمين، ولا حديث خارج التسجيل، ولا أرقام غير مؤكدة.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8. المنصات الرقمية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أوقفوا المنشورات المجدولة والحملات الإعلانية فور تفعيل الخطة.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ثبّتوا البيان الرسمي في أعلى الحسابات، وحدّثوه في الموعد المعلن.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ردّوا على الأسئلة الحقيقية برد موحد يحيل إلى البيان، ولا تدخلوا في جدال.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صعّدوا إلى فريق الأزمة أي حساب مؤثر أو جهة رسمية أو صحفي يتناول الموضوع.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احموا الحسابات الرسمية: غيّروا كلمات المرور وفعّلوا التحقق الثنائي إن كانت الحادثة تقنية.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9. سجل المخاطر الخاصة بقطاعكم</w:t>
      </w:r>
    </w:p>
    <w:p>
      <w:pPr>
        <w:bidi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/>
        </w:rPr>
        <w:t xml:space="preserve">اكتبوا أبرز ستة مخاطر لشركتكم، الأرجح أولاً.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80"/>
        <w:gridCol w:w="900"/>
        <w:gridCol w:w="1980"/>
        <w:gridCol w:w="2520"/>
        <w:gridCol w:w="1620"/>
      </w:tblGrid>
      <w:tr>
        <w:trPr>
          <w:tblHeader/>
        </w:trPr>
        <w:tc>
          <w:tcPr>
            <w:tcW w:type="dxa" w:w="198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الخطر</w:t>
            </w:r>
          </w:p>
        </w:tc>
        <w:tc>
          <w:tcPr>
            <w:tcW w:type="dxa" w:w="9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المستوى</w:t>
            </w:r>
          </w:p>
        </w:tc>
        <w:tc>
          <w:tcPr>
            <w:tcW w:type="dxa" w:w="198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أول إشارة</w:t>
            </w:r>
          </w:p>
        </w:tc>
        <w:tc>
          <w:tcPr>
            <w:tcW w:type="dxa" w:w="252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أول إجراء اتصالي</w:t>
            </w:r>
          </w:p>
        </w:tc>
        <w:tc>
          <w:tcPr>
            <w:tcW w:type="dxa" w:w="162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من يعرف أولاً</w:t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bidi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/>
        </w:rPr>
        <w:t xml:space="preserve"/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10. بعد الأزمة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أعلنوا انتهاء الأزمة لمن أُبلغ بها: الموظفين، والعملاء، والجهات.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اعقدوا مراجعة خلال أسبوعين: ما نجح، وما تأخر، وما يجب تغييره في هذه الخطة.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قيسوا الأثر: حجم التغطية ونبرتها، وأسئلة العملاء، وثقة الموظفين.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حدّثوا بنك البيانات الأولية وسجل المخاطر بما تعلمتموه.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11. جهات اتصال مهمة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60"/>
        <w:gridCol w:w="1980"/>
        <w:gridCol w:w="1980"/>
        <w:gridCol w:w="1980"/>
      </w:tblGrid>
      <w:tr>
        <w:trPr>
          <w:tblHeader/>
        </w:trPr>
        <w:tc>
          <w:tcPr>
            <w:tcW w:type="dxa" w:w="306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الجهة</w:t>
            </w:r>
          </w:p>
        </w:tc>
        <w:tc>
          <w:tcPr>
            <w:tcW w:type="dxa" w:w="198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الشخص</w:t>
            </w:r>
          </w:p>
        </w:tc>
        <w:tc>
          <w:tcPr>
            <w:tcW w:type="dxa" w:w="198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الهاتف</w:t>
            </w:r>
          </w:p>
        </w:tc>
        <w:tc>
          <w:tcPr>
            <w:tcW w:type="dxa" w:w="198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البريد</w:t>
            </w:r>
          </w:p>
        </w:tc>
      </w:tr>
      <w:tr>
        <w:trPr>
          <w:cantSplit/>
        </w:trPr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الجهة الرقابية الرئيسية</w:t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الدفاع المدني / الطوارئ</w:t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المستشار القانوني الخارجي</w:t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وكالة العلاقات العامة</w:t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مزوّد الأمن السيبراني</w:t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شركة التأمين</w:t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bidi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/>
        </w:rPr>
        <w:t xml:space="preserve"/>
      </w:r>
    </w:p>
    <w:sectPr>
      <w:footerReference w:type="default" r:id="rId6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before="0" w:line="320"/>
      <w:jc w:val="left"/>
    </w:pPr>
    <w:r>
      <w:rPr>
        <w:rFonts w:ascii="Arial" w:cs="Arial" w:hAnsi="Arial"/>
        <w:color w:val="6C6155"/>
        <w:sz w:val="16"/>
        <w:szCs w:val="16"/>
        <w:rtl/>
      </w:rPr>
      <w:t xml:space="preserve">قالب مجاني من إيجاز · ijaz.ai/tools · راجعوه مع إدارتكم القانونية قبل اعتماده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خطة اتصال الأزمات</dc:title>
  <dc:creator>Ijaz</dc:creator>
  <cp:lastModifiedBy>Un-named</cp:lastModifiedBy>
  <cp:revision>1</cp:revision>
  <dcterms:created xsi:type="dcterms:W3CDTF">2026-11-02T00:19:18.156Z</dcterms:created>
  <dcterms:modified xsi:type="dcterms:W3CDTF">2026-11-02T00:19:18.156Z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